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0"/>
        <w:jc w:val="center"/>
      </w:pPr>
      <w:r>
        <w:rPr>
          <w:b/>
          <w:bCs/>
          <w:color w:val="6B4FBB"/>
          <w:sz w:val="56"/>
          <w:szCs w:val="56"/>
        </w:rPr>
        <w:t xml:space="preserve">AuraDesk</w:t>
      </w:r>
    </w:p>
    <w:p>
      <w:pPr>
        <w:spacing w:after="80"/>
        <w:jc w:val="center"/>
      </w:pPr>
      <w:r>
        <w:rPr>
          <w:b/>
          <w:bCs/>
          <w:sz w:val="36"/>
          <w:szCs w:val="36"/>
        </w:rPr>
        <w:t xml:space="preserve">Términos y Condiciones de Uso</w:t>
      </w:r>
    </w:p>
    <w:p>
      <w:pPr>
        <w:spacing w:after="360"/>
        <w:jc w:val="center"/>
      </w:pPr>
      <w:r>
        <w:rPr>
          <w:i/>
          <w:iCs/>
          <w:color w:val="555555"/>
        </w:rPr>
        <w:t xml:space="preserve">Última actualización: abril de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4FBB" w:sz="12"/>
              <w:left w:val="single" w:color="6B4FBB" w:sz="24"/>
              <w:bottom w:val="single" w:color="6B4FBB" w:sz="12"/>
              <w:right w:val="single" w:color="6B4FBB" w:sz="4"/>
            </w:tcBorders>
            <w:shd w:fill="F4EFFA" w:val="clear"/>
            <w:tcMar>
              <w:top w:type="dxa" w:w="160"/>
              <w:left w:type="dxa" w:w="200"/>
              <w:bottom w:type="dxa" w:w="160"/>
              <w:right w:type="dxa" w:w="200"/>
            </w:tcMar>
          </w:tcPr>
          <w:p>
            <w:pPr>
              <w:spacing w:after="0"/>
            </w:pPr>
            <w:r>
              <w:t xml:space="preserve">Al registrarte y utilizar AuraDesk, aceptas los presentes Términos y Condiciones en su totalidad. Te recomendamos leerlos detenidamente antes de comenzar a usar el servicio.</w:t>
            </w:r>
          </w:p>
        </w:tc>
      </w:tr>
    </w:tbl>
    <w:p>
      <w:pPr>
        <w:spacing w:after="120" w:line="300"/>
        <w:jc w:val="both"/>
      </w:pPr>
      <w:r>
        <w:t xml:space="preserve"/>
      </w:r>
    </w:p>
    <w:p>
      <w:pPr>
        <w:pStyle w:val="Heading2"/>
        <w:pBdr>
          <w:bottom w:val="single" w:color="6B4FBB" w:sz="8" w:space="4"/>
        </w:pBdr>
        <w:spacing w:after="140" w:before="320"/>
      </w:pPr>
      <w:r>
        <w:rPr>
          <w:b/>
          <w:bCs/>
          <w:color w:val="6B4FBB"/>
          <w:sz w:val="22"/>
          <w:szCs w:val="22"/>
        </w:rPr>
        <w:t xml:space="preserve">Artículo 01  ·  </w:t>
      </w:r>
      <w:r>
        <w:rPr>
          <w:b/>
          <w:bCs/>
          <w:color w:val="222222"/>
          <w:sz w:val="26"/>
          <w:szCs w:val="26"/>
        </w:rPr>
        <w:t xml:space="preserve">Titular del servicio</w:t>
      </w:r>
    </w:p>
    <w:p>
      <w:pPr>
        <w:spacing w:after="120" w:line="300"/>
        <w:jc w:val="both"/>
      </w:pPr>
      <w:r>
        <w:t xml:space="preserve">El titular y responsable del servicio AuraDesk es:</w:t>
      </w:r>
    </w:p>
    <w:p>
      <w:pPr>
        <w:pStyle w:val="ListParagraph"/>
        <w:numPr>
          <w:ilvl w:val="0"/>
          <w:numId w:val="2"/>
        </w:numPr>
        <w:spacing w:after="80"/>
      </w:pPr>
      <w:r>
        <w:t xml:space="preserve">Nombre: Carlos Arias Villena</w:t>
      </w:r>
    </w:p>
    <w:p>
      <w:pPr>
        <w:pStyle w:val="ListParagraph"/>
        <w:numPr>
          <w:ilvl w:val="0"/>
          <w:numId w:val="2"/>
        </w:numPr>
        <w:spacing w:after="80"/>
      </w:pPr>
      <w:r>
        <w:t xml:space="preserve">NIF: 53492453L</w:t>
      </w:r>
    </w:p>
    <w:p>
      <w:pPr>
        <w:pStyle w:val="ListParagraph"/>
        <w:numPr>
          <w:ilvl w:val="0"/>
          <w:numId w:val="2"/>
        </w:numPr>
        <w:spacing w:after="80"/>
      </w:pPr>
      <w:r>
        <w:t xml:space="preserve">Dirección: C/ Viñas 2-11, Miguelturra (Ciudad Real), España</w:t>
      </w:r>
    </w:p>
    <w:p>
      <w:pPr>
        <w:pStyle w:val="ListParagraph"/>
        <w:numPr>
          <w:ilvl w:val="0"/>
          <w:numId w:val="2"/>
        </w:numPr>
        <w:spacing w:after="80"/>
      </w:pPr>
      <w:r>
        <w:t xml:space="preserve">Email de contacto: info@auradesk.net</w:t>
      </w:r>
    </w:p>
    <w:p>
      <w:pPr>
        <w:spacing w:after="120" w:line="300"/>
        <w:jc w:val="both"/>
      </w:pPr>
      <w:r>
        <w:t xml:space="preserve">En adelante, el titular será referido como “AuraDesk” o “el prestador”.</w:t>
      </w:r>
    </w:p>
    <w:p>
      <w:pPr>
        <w:pStyle w:val="Heading2"/>
        <w:pBdr>
          <w:bottom w:val="single" w:color="6B4FBB" w:sz="8" w:space="4"/>
        </w:pBdr>
        <w:spacing w:after="140" w:before="320"/>
      </w:pPr>
      <w:r>
        <w:rPr>
          <w:b/>
          <w:bCs/>
          <w:color w:val="6B4FBB"/>
          <w:sz w:val="22"/>
          <w:szCs w:val="22"/>
        </w:rPr>
        <w:t xml:space="preserve">Artículo 02  ·  </w:t>
      </w:r>
      <w:r>
        <w:rPr>
          <w:b/>
          <w:bCs/>
          <w:color w:val="222222"/>
          <w:sz w:val="26"/>
          <w:szCs w:val="26"/>
        </w:rPr>
        <w:t xml:space="preserve">Descripción del servicio</w:t>
      </w:r>
    </w:p>
    <w:p>
      <w:pPr>
        <w:spacing w:after="120" w:line="300"/>
        <w:jc w:val="both"/>
      </w:pPr>
      <w:r>
        <w:t xml:space="preserve">AuraDesk es una plataforma de gestión de clientes (CRM) diseñada específicamente para profesionales del sector esotérico, terapéutico y de bienestar, incluyendo tarotistas, terapeutas energéticos, sanadores y profesionales afines.</w:t>
      </w:r>
    </w:p>
    <w:p>
      <w:pPr>
        <w:spacing w:after="120" w:line="300"/>
        <w:jc w:val="both"/>
      </w:pPr>
      <w:r>
        <w:t xml:space="preserve">El servicio incluye, entre otras funcionalidades:</w:t>
      </w:r>
    </w:p>
    <w:p>
      <w:pPr>
        <w:pStyle w:val="ListParagraph"/>
        <w:numPr>
          <w:ilvl w:val="0"/>
          <w:numId w:val="2"/>
        </w:numPr>
        <w:spacing w:after="80"/>
      </w:pPr>
      <w:r>
        <w:t xml:space="preserve">Gestión de fichas de clientes con historial de sesiones</w:t>
      </w:r>
    </w:p>
    <w:p>
      <w:pPr>
        <w:pStyle w:val="ListParagraph"/>
        <w:numPr>
          <w:ilvl w:val="0"/>
          <w:numId w:val="2"/>
        </w:numPr>
        <w:spacing w:after="80"/>
      </w:pPr>
      <w:r>
        <w:t xml:space="preserve">Resúmenes automáticos generados por Inteligencia Artificial</w:t>
      </w:r>
    </w:p>
    <w:p>
      <w:pPr>
        <w:pStyle w:val="ListParagraph"/>
        <w:numPr>
          <w:ilvl w:val="0"/>
          <w:numId w:val="2"/>
        </w:numPr>
        <w:spacing w:after="80"/>
      </w:pPr>
      <w:r>
        <w:t xml:space="preserve">Transcripción automática de notas de voz</w:t>
      </w:r>
    </w:p>
    <w:p>
      <w:pPr>
        <w:pStyle w:val="ListParagraph"/>
        <w:numPr>
          <w:ilvl w:val="0"/>
          <w:numId w:val="2"/>
        </w:numPr>
        <w:spacing w:after="80"/>
      </w:pPr>
      <w:r>
        <w:t xml:space="preserve">Calendario de citas con recordatorios automáticos</w:t>
      </w:r>
    </w:p>
    <w:p>
      <w:pPr>
        <w:pStyle w:val="ListParagraph"/>
        <w:numPr>
          <w:ilvl w:val="0"/>
          <w:numId w:val="2"/>
        </w:numPr>
        <w:spacing w:after="80"/>
      </w:pPr>
      <w:r>
        <w:t xml:space="preserve">Registro y control de ingresos por sesión</w:t>
      </w:r>
    </w:p>
    <w:p>
      <w:pPr>
        <w:pStyle w:val="ListParagraph"/>
        <w:numPr>
          <w:ilvl w:val="0"/>
          <w:numId w:val="2"/>
        </w:numPr>
        <w:spacing w:after="80"/>
      </w:pPr>
      <w:r>
        <w:t xml:space="preserve">Estadísticas y gráfico anual de actividad</w:t>
      </w:r>
    </w:p>
    <w:p>
      <w:pPr>
        <w:pStyle w:val="ListParagraph"/>
        <w:numPr>
          <w:ilvl w:val="0"/>
          <w:numId w:val="2"/>
        </w:numPr>
        <w:spacing w:after="80"/>
      </w:pPr>
      <w:r>
        <w:t xml:space="preserve">Emisión y descarga de facturas</w:t>
      </w:r>
    </w:p>
    <w:p>
      <w:pPr>
        <w:spacing w:after="120" w:line="300"/>
        <w:jc w:val="both"/>
      </w:pPr>
      <w:r>
        <w:t xml:space="preserve">AuraDesk se reserva el derecho de modificar, ampliar o limitar las funcionalidades del servicio, notificando a los usuarios con antelación razonable.</w:t>
      </w:r>
    </w:p>
    <w:p>
      <w:pPr>
        <w:pStyle w:val="Heading2"/>
        <w:pBdr>
          <w:bottom w:val="single" w:color="6B4FBB" w:sz="8" w:space="4"/>
        </w:pBdr>
        <w:spacing w:after="140" w:before="320"/>
      </w:pPr>
      <w:r>
        <w:rPr>
          <w:b/>
          <w:bCs/>
          <w:color w:val="6B4FBB"/>
          <w:sz w:val="22"/>
          <w:szCs w:val="22"/>
        </w:rPr>
        <w:t xml:space="preserve">Artículo 03  ·  </w:t>
      </w:r>
      <w:r>
        <w:rPr>
          <w:b/>
          <w:bCs/>
          <w:color w:val="222222"/>
          <w:sz w:val="26"/>
          <w:szCs w:val="26"/>
        </w:rPr>
        <w:t xml:space="preserve">Registro y acceso</w:t>
      </w:r>
    </w:p>
    <w:p>
      <w:pPr>
        <w:spacing w:after="120" w:line="300"/>
        <w:jc w:val="both"/>
      </w:pPr>
      <w:r>
        <w:t xml:space="preserve">Para acceder a AuraDesk es necesario crear una cuenta proporcionando información veraz, completa y actualizada. El usuario es responsable de mantener la confidencialidad de sus credenciales de acceso.</w:t>
      </w:r>
    </w:p>
    <w:p>
      <w:pPr>
        <w:spacing w:after="120" w:line="300"/>
        <w:jc w:val="both"/>
      </w:pPr>
      <w:r>
        <w:t xml:space="preserve">Cada cuenta es de uso estrictamente personal e intransferible. Queda prohibido compartir el acceso con terceros o utilizar la cuenta en nombre de otra persona sin autorización expresa de AuraDesk.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4FBB" w:sz="12"/>
              <w:left w:val="single" w:color="6B4FBB" w:sz="24"/>
              <w:bottom w:val="single" w:color="6B4FBB" w:sz="12"/>
              <w:right w:val="single" w:color="6B4FBB" w:sz="4"/>
            </w:tcBorders>
            <w:shd w:fill="F4EFFA" w:val="clear"/>
            <w:tcMar>
              <w:top w:type="dxa" w:w="160"/>
              <w:left w:type="dxa" w:w="200"/>
              <w:bottom w:type="dxa" w:w="160"/>
              <w:right w:type="dxa" w:w="200"/>
            </w:tcMar>
          </w:tcPr>
          <w:p>
            <w:pPr>
              <w:spacing w:after="0"/>
            </w:pPr>
            <w:r>
              <w:t xml:space="preserve">La base de datos de cada profesional es completamente privada e independiente. Ningún usuario puede acceder a la información de otro bajo ninguna circunstancia.</w:t>
            </w:r>
          </w:p>
        </w:tc>
      </w:tr>
    </w:tbl>
    <w:p>
      <w:pPr>
        <w:pStyle w:val="Heading2"/>
        <w:pBdr>
          <w:bottom w:val="single" w:color="6B4FBB" w:sz="8" w:space="4"/>
        </w:pBdr>
        <w:spacing w:after="140" w:before="320"/>
      </w:pPr>
      <w:r>
        <w:rPr>
          <w:b/>
          <w:bCs/>
          <w:color w:val="6B4FBB"/>
          <w:sz w:val="22"/>
          <w:szCs w:val="22"/>
        </w:rPr>
        <w:t xml:space="preserve">Artículo 04  ·  </w:t>
      </w:r>
      <w:r>
        <w:rPr>
          <w:b/>
          <w:bCs/>
          <w:color w:val="222222"/>
          <w:sz w:val="26"/>
          <w:szCs w:val="26"/>
        </w:rPr>
        <w:t xml:space="preserve">Suscripción, precio y facturación</w:t>
      </w:r>
    </w:p>
    <w:p>
      <w:pPr>
        <w:spacing w:after="120" w:line="300"/>
        <w:jc w:val="both"/>
      </w:pPr>
      <w:r>
        <w:t xml:space="preserve">El acceso a AuraDesk está sujeto al pago de una suscripción mensual con las siguientes condiciones:</w:t>
      </w:r>
    </w:p>
    <w:p>
      <w:pPr>
        <w:spacing w:after="120" w:line="300"/>
        <w:jc w:val="both"/>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4"/>
              <w:left w:val="single" w:color="CCCCCC" w:sz="4"/>
              <w:bottom w:val="single" w:color="CCCCCC" w:sz="4"/>
              <w:right w:val="single" w:color="CCCCCC" w:sz="4"/>
            </w:tcBorders>
            <w:shd w:fill="6B4FBB" w:val="clear"/>
            <w:tcMar>
              <w:top w:type="dxa" w:w="100"/>
              <w:left w:type="dxa" w:w="140"/>
              <w:bottom w:type="dxa" w:w="100"/>
              <w:right w:type="dxa" w:w="140"/>
            </w:tcMar>
          </w:tcPr>
          <w:p>
            <w:pPr>
              <w:spacing w:after="0"/>
            </w:pPr>
            <w:r>
              <w:rPr>
                <w:b/>
                <w:bCs/>
                <w:color w:val="FFFFFF"/>
              </w:rPr>
              <w:t xml:space="preserve">Concepto</w:t>
            </w:r>
          </w:p>
        </w:tc>
        <w:tc>
          <w:tcPr>
            <w:tcW w:type="dxa" w:w="6160"/>
            <w:tcBorders>
              <w:top w:val="single" w:color="CCCCCC" w:sz="4"/>
              <w:left w:val="single" w:color="CCCCCC" w:sz="4"/>
              <w:bottom w:val="single" w:color="CCCCCC" w:sz="4"/>
              <w:right w:val="single" w:color="CCCCCC" w:sz="4"/>
            </w:tcBorders>
            <w:shd w:fill="6B4FBB" w:val="clear"/>
            <w:tcMar>
              <w:top w:type="dxa" w:w="100"/>
              <w:left w:type="dxa" w:w="140"/>
              <w:bottom w:type="dxa" w:w="100"/>
              <w:right w:type="dxa" w:w="140"/>
            </w:tcMar>
          </w:tcPr>
          <w:p>
            <w:pPr>
              <w:spacing w:after="0"/>
            </w:pPr>
            <w:r>
              <w:rPr>
                <w:b/>
                <w:bCs/>
                <w:color w:val="FFFFFF"/>
              </w:rPr>
              <w:t xml:space="preserve">Detalle</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Precio mensual</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9,99 € (IVA incluido)</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Modalidad</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Pago por adelantado, al inicio de cada periodo</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Primer mes</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Gratuito. Sin necesidad de tarjeta de crédito</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Aviso de renovación</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Email automático 3 días antes del cobro</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Facturación</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AuraDesk emite factura mensual descargable desde el panel</w:t>
            </w:r>
          </w:p>
        </w:tc>
      </w:tr>
    </w:tbl>
    <w:p>
      <w:pPr>
        <w:spacing w:after="120" w:line="300"/>
        <w:jc w:val="both"/>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4FBB" w:sz="12"/>
              <w:left w:val="single" w:color="6B4FBB" w:sz="24"/>
              <w:bottom w:val="single" w:color="6B4FBB" w:sz="12"/>
              <w:right w:val="single" w:color="6B4FBB" w:sz="4"/>
            </w:tcBorders>
            <w:shd w:fill="F4EFFA" w:val="clear"/>
            <w:tcMar>
              <w:top w:type="dxa" w:w="160"/>
              <w:left w:type="dxa" w:w="200"/>
              <w:bottom w:type="dxa" w:w="160"/>
              <w:right w:type="dxa" w:w="200"/>
            </w:tcMar>
          </w:tcPr>
          <w:p>
            <w:pPr>
              <w:spacing w:after="0"/>
            </w:pPr>
            <w:r>
              <w:rPr>
                <w:b/>
                <w:bCs/>
                <w:color w:val="6B4FBB"/>
              </w:rPr>
              <w:t xml:space="preserve">Periodo de gracia: </w:t>
            </w:r>
            <w:r>
              <w:t xml:space="preserve">En caso de impago, el usuario dispone de 5 días naturales desde la fecha de vencimiento para regularizar su situación antes de que se suspenda el acceso.</w:t>
            </w:r>
          </w:p>
        </w:tc>
      </w:tr>
    </w:tbl>
    <w:p>
      <w:pPr>
        <w:spacing w:after="120" w:line="300"/>
        <w:jc w:val="both"/>
      </w:pPr>
      <w:r>
        <w:t xml:space="preserve"/>
      </w:r>
    </w:p>
    <w:p>
      <w:pPr>
        <w:spacing w:after="120" w:line="300"/>
        <w:jc w:val="both"/>
      </w:pPr>
      <w:r>
        <w:t xml:space="preserve">Transcurrido el periodo de gracia sin que se haya realizado el pago, el acceso a la plataforma quedará suspendido automáticamente. Los datos del usuario se conservarán íntegros durante un periodo máximo de 6 meses, durante los cuales el usuario podrá reactivar su cuenta en cualquier momento previo pago de las cuotas pendientes. Pasados los 6 meses sin reactivación, AuraDesk podrá proceder a la eliminación definitiva de los datos.</w:t>
      </w:r>
    </w:p>
    <w:p>
      <w:pPr>
        <w:pStyle w:val="Heading2"/>
        <w:pBdr>
          <w:bottom w:val="single" w:color="6B4FBB" w:sz="8" w:space="4"/>
        </w:pBdr>
        <w:spacing w:after="140" w:before="320"/>
      </w:pPr>
      <w:r>
        <w:rPr>
          <w:b/>
          <w:bCs/>
          <w:color w:val="6B4FBB"/>
          <w:sz w:val="22"/>
          <w:szCs w:val="22"/>
        </w:rPr>
        <w:t xml:space="preserve">Artículo 05  ·  </w:t>
      </w:r>
      <w:r>
        <w:rPr>
          <w:b/>
          <w:bCs/>
          <w:color w:val="222222"/>
          <w:sz w:val="26"/>
          <w:szCs w:val="26"/>
        </w:rPr>
        <w:t xml:space="preserve">Período de prueba gratuito</w:t>
      </w:r>
    </w:p>
    <w:p>
      <w:pPr>
        <w:spacing w:after="120" w:line="300"/>
        <w:jc w:val="both"/>
      </w:pPr>
      <w:r>
        <w:t xml:space="preserve">Todo nuevo usuario que se registre en AuraDesk disfrutará de un período de prueba gratuito de 30 días con acceso completo a todas las funcionalidades de la plataforma.</w:t>
      </w:r>
    </w:p>
    <w:p>
      <w:pPr>
        <w:spacing w:after="120" w:line="300"/>
        <w:jc w:val="both"/>
      </w:pPr>
      <w:r>
        <w:t xml:space="preserve">Al día 28 del período de prueba, el usuario recibirá un aviso por email informando de que en 3 días se iniciará el cobro de la suscripción mensual. Si el usuario no desea continuar, podrá cancelar su cuenta antes de que finalice el período gratuito sin ningún cargo.</w:t>
      </w:r>
    </w:p>
    <w:p>
      <w:pPr>
        <w:spacing w:after="120" w:line="300"/>
        <w:jc w:val="both"/>
      </w:pPr>
      <w:r>
        <w:t xml:space="preserve">Este período de prueba es válido una única vez por persona y por empresa. AuraDesk se reserva el derecho de revocar el período gratuito en caso de uso fraudulento o abusivo.</w:t>
      </w:r>
    </w:p>
    <w:p>
      <w:pPr>
        <w:pStyle w:val="Heading2"/>
        <w:pBdr>
          <w:bottom w:val="single" w:color="6B4FBB" w:sz="8" w:space="4"/>
        </w:pBdr>
        <w:spacing w:after="140" w:before="320"/>
      </w:pPr>
      <w:r>
        <w:rPr>
          <w:b/>
          <w:bCs/>
          <w:color w:val="6B4FBB"/>
          <w:sz w:val="22"/>
          <w:szCs w:val="22"/>
        </w:rPr>
        <w:t xml:space="preserve">Artículo 06  ·  </w:t>
      </w:r>
      <w:r>
        <w:rPr>
          <w:b/>
          <w:bCs/>
          <w:color w:val="222222"/>
          <w:sz w:val="26"/>
          <w:szCs w:val="26"/>
        </w:rPr>
        <w:t xml:space="preserve">Sistema de referidos</w:t>
      </w:r>
    </w:p>
    <w:p>
      <w:pPr>
        <w:spacing w:after="120" w:line="300"/>
        <w:jc w:val="both"/>
      </w:pPr>
      <w:r>
        <w:t xml:space="preserve">AuraDesk pone a disposición de sus usuarios un sistema de referidos con las siguientes condiciones:</w:t>
      </w:r>
    </w:p>
    <w:p>
      <w:pPr>
        <w:pStyle w:val="ListParagraph"/>
        <w:numPr>
          <w:ilvl w:val="0"/>
          <w:numId w:val="2"/>
        </w:numPr>
        <w:spacing w:after="80"/>
      </w:pPr>
      <w:r>
        <w:t xml:space="preserve">Cada usuario activo dispone de un enlace de referido único e intransferible.</w:t>
      </w:r>
    </w:p>
    <w:p>
      <w:pPr>
        <w:pStyle w:val="ListParagraph"/>
        <w:numPr>
          <w:ilvl w:val="0"/>
          <w:numId w:val="2"/>
        </w:numPr>
        <w:spacing w:after="80"/>
      </w:pPr>
      <w:r>
        <w:t xml:space="preserve">Cuando un nuevo usuario se registra a través de dicho enlace y completa el pago de su primer mes, el usuario referidor recibirá automáticamente un mes gratuito de suscripción.</w:t>
      </w:r>
    </w:p>
    <w:p>
      <w:pPr>
        <w:pStyle w:val="ListParagraph"/>
        <w:numPr>
          <w:ilvl w:val="0"/>
          <w:numId w:val="2"/>
        </w:numPr>
        <w:spacing w:after="80"/>
      </w:pPr>
      <w:r>
        <w:t xml:space="preserve">El nuevo usuario referido también disfruta del mes de prueba gratuito estándar.</w:t>
      </w:r>
    </w:p>
    <w:p>
      <w:pPr>
        <w:pStyle w:val="ListParagraph"/>
        <w:numPr>
          <w:ilvl w:val="0"/>
          <w:numId w:val="2"/>
        </w:numPr>
        <w:spacing w:after="80"/>
      </w:pPr>
      <w:r>
        <w:t xml:space="preserve">No existe límite en el número de referidos que un usuario puede realizar.</w:t>
      </w:r>
    </w:p>
    <w:p>
      <w:pPr>
        <w:pStyle w:val="ListParagraph"/>
        <w:numPr>
          <w:ilvl w:val="0"/>
          <w:numId w:val="2"/>
        </w:numPr>
        <w:spacing w:after="80"/>
      </w:pPr>
      <w:r>
        <w:t xml:space="preserve">El mes gratuito por referido se aplica en el siguiente ciclo de facturación tras confirmarse el pago del referido.</w:t>
      </w:r>
    </w:p>
    <w:p>
      <w:pPr>
        <w:pStyle w:val="ListParagraph"/>
        <w:numPr>
          <w:ilvl w:val="0"/>
          <w:numId w:val="2"/>
        </w:numPr>
        <w:spacing w:after="80"/>
      </w:pPr>
      <w:r>
        <w:t xml:space="preserve">AuraDesk se reserva el derecho de anular referidos que considere fraudulentos o realizados mediante cuentas duplicadas.</w:t>
      </w:r>
    </w:p>
    <w:p>
      <w:pPr>
        <w:pStyle w:val="Heading2"/>
        <w:pBdr>
          <w:bottom w:val="single" w:color="6B4FBB" w:sz="8" w:space="4"/>
        </w:pBdr>
        <w:spacing w:after="140" w:before="320"/>
      </w:pPr>
      <w:r>
        <w:rPr>
          <w:b/>
          <w:bCs/>
          <w:color w:val="6B4FBB"/>
          <w:sz w:val="22"/>
          <w:szCs w:val="22"/>
        </w:rPr>
        <w:t xml:space="preserve">Artículo 07  ·  </w:t>
      </w:r>
      <w:r>
        <w:rPr>
          <w:b/>
          <w:bCs/>
          <w:color w:val="222222"/>
          <w:sz w:val="26"/>
          <w:szCs w:val="26"/>
        </w:rPr>
        <w:t xml:space="preserve">Acceso gratuito y programa de embajadores</w:t>
      </w:r>
    </w:p>
    <w:p>
      <w:pPr>
        <w:spacing w:after="120" w:line="300"/>
        <w:jc w:val="both"/>
      </w:pPr>
      <w:r>
        <w:t xml:space="preserve">AuraDesk podrá conceder acceso gratuito a determinados profesionales del sector a criterio exclusivo del administrador de la plataforma, en el marco de un programa de embajadores o colaboradores.</w:t>
      </w:r>
    </w:p>
    <w:p>
      <w:pPr>
        <w:spacing w:after="120" w:line="300"/>
        <w:jc w:val="both"/>
      </w:pPr>
      <w:r>
        <w:t xml:space="preserve">Este acceso gratuito podrá ser revocado en cualquier momento por AuraDesk sin obligación de compensación económica. Los embajadores no adquieren ningún derecho sobre la plataforma ni sobre sus funcionalidades por el hecho de disponer de acceso gratuito.</w:t>
      </w:r>
    </w:p>
    <w:p>
      <w:pPr>
        <w:pStyle w:val="Heading2"/>
        <w:pBdr>
          <w:bottom w:val="single" w:color="6B4FBB" w:sz="8" w:space="4"/>
        </w:pBdr>
        <w:spacing w:after="140" w:before="320"/>
      </w:pPr>
      <w:r>
        <w:rPr>
          <w:b/>
          <w:bCs/>
          <w:color w:val="6B4FBB"/>
          <w:sz w:val="22"/>
          <w:szCs w:val="22"/>
        </w:rPr>
        <w:t xml:space="preserve">Artículo 08  ·  </w:t>
      </w:r>
      <w:r>
        <w:rPr>
          <w:b/>
          <w:bCs/>
          <w:color w:val="222222"/>
          <w:sz w:val="26"/>
          <w:szCs w:val="26"/>
        </w:rPr>
        <w:t xml:space="preserve">Protección de datos y privacidad (RGPD)</w:t>
      </w:r>
    </w:p>
    <w:p>
      <w:pPr>
        <w:spacing w:after="120" w:line="300"/>
        <w:jc w:val="both"/>
      </w:pPr>
      <w:r>
        <w:t xml:space="preserve">En cumplimiento del Reglamento (UE) 2016/679 General de Protección de Datos (RGPD) y la Ley Orgánica 3/2018 de Protección de Datos Personales y garantía de los derechos digitales (LOPDGDD), AuraDesk informa:</w:t>
      </w:r>
    </w:p>
    <w:p>
      <w:pPr>
        <w:spacing w:after="120" w:line="300"/>
        <w:jc w:val="both"/>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4"/>
              <w:left w:val="single" w:color="CCCCCC" w:sz="4"/>
              <w:bottom w:val="single" w:color="CCCCCC" w:sz="4"/>
              <w:right w:val="single" w:color="CCCCCC" w:sz="4"/>
            </w:tcBorders>
            <w:shd w:fill="6B4FBB" w:val="clear"/>
            <w:tcMar>
              <w:top w:type="dxa" w:w="100"/>
              <w:left w:type="dxa" w:w="140"/>
              <w:bottom w:type="dxa" w:w="100"/>
              <w:right w:type="dxa" w:w="140"/>
            </w:tcMar>
          </w:tcPr>
          <w:p>
            <w:pPr>
              <w:spacing w:after="0"/>
            </w:pPr>
            <w:r>
              <w:rPr>
                <w:b/>
                <w:bCs/>
                <w:color w:val="FFFFFF"/>
              </w:rPr>
              <w:t xml:space="preserve">Aspecto</w:t>
            </w:r>
          </w:p>
        </w:tc>
        <w:tc>
          <w:tcPr>
            <w:tcW w:type="dxa" w:w="6160"/>
            <w:tcBorders>
              <w:top w:val="single" w:color="CCCCCC" w:sz="4"/>
              <w:left w:val="single" w:color="CCCCCC" w:sz="4"/>
              <w:bottom w:val="single" w:color="CCCCCC" w:sz="4"/>
              <w:right w:val="single" w:color="CCCCCC" w:sz="4"/>
            </w:tcBorders>
            <w:shd w:fill="6B4FBB" w:val="clear"/>
            <w:tcMar>
              <w:top w:type="dxa" w:w="100"/>
              <w:left w:type="dxa" w:w="140"/>
              <w:bottom w:type="dxa" w:w="100"/>
              <w:right w:type="dxa" w:w="140"/>
            </w:tcMar>
          </w:tcPr>
          <w:p>
            <w:pPr>
              <w:spacing w:after="0"/>
            </w:pPr>
            <w:r>
              <w:rPr>
                <w:b/>
                <w:bCs/>
                <w:color w:val="FFFFFF"/>
              </w:rPr>
              <w:t xml:space="preserve">Detalle</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Responsable del tratamiento</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Carlos Arias Villena · NIF 53492453L</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Finalidad</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Prestación del servicio, facturación y comunicaciones relacionadas</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Base legal</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Ejecución del contrato de suscripción (art. 6.1.b RGPD)</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Conservación</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Durante la vigencia del contrato y hasta 6 meses tras la baja</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Cesión a terceros</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No se ceden datos a terceros salvo obligación legal</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Derechos</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Acceso, rectificación, supresión, portabilidad y oposición</w:t>
            </w:r>
          </w:p>
        </w:tc>
      </w:tr>
      <w:tr>
        <w:tc>
          <w:tcPr>
            <w:tcW w:type="dxa" w:w="3200"/>
            <w:tcBorders>
              <w:top w:val="single" w:color="CCCCCC" w:sz="4"/>
              <w:left w:val="single" w:color="CCCCCC" w:sz="4"/>
              <w:bottom w:val="single" w:color="CCCCCC" w:sz="4"/>
              <w:right w:val="single" w:color="CCCCCC" w:sz="4"/>
            </w:tcBorders>
            <w:shd w:fill="F4EFFA" w:val="clear"/>
            <w:tcMar>
              <w:top w:type="dxa" w:w="100"/>
              <w:left w:type="dxa" w:w="140"/>
              <w:bottom w:type="dxa" w:w="100"/>
              <w:right w:type="dxa" w:w="140"/>
            </w:tcMar>
          </w:tcPr>
          <w:p>
            <w:pPr>
              <w:spacing w:after="0"/>
            </w:pPr>
            <w:r>
              <w:rPr>
                <w:b/>
                <w:bCs/>
                <w:color w:val="222222"/>
              </w:rPr>
              <w:t xml:space="preserve">Ejercicio de derechos</w:t>
            </w:r>
          </w:p>
        </w:tc>
        <w:tc>
          <w:tcPr>
            <w:tcW w:type="dxa" w:w="61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pPr>
              <w:spacing w:after="0"/>
            </w:pPr>
            <w:r>
              <w:rPr>
                <w:b w:val="false"/>
                <w:bCs w:val="false"/>
                <w:color w:val="222222"/>
              </w:rPr>
              <w:t xml:space="preserve">info@auradesk.net</w:t>
            </w:r>
          </w:p>
        </w:tc>
      </w:tr>
    </w:tbl>
    <w:p>
      <w:pPr>
        <w:spacing w:after="120" w:line="300"/>
        <w:jc w:val="both"/>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4FBB" w:sz="12"/>
              <w:left w:val="single" w:color="6B4FBB" w:sz="24"/>
              <w:bottom w:val="single" w:color="6B4FBB" w:sz="12"/>
              <w:right w:val="single" w:color="6B4FBB" w:sz="4"/>
            </w:tcBorders>
            <w:shd w:fill="F4EFFA" w:val="clear"/>
            <w:tcMar>
              <w:top w:type="dxa" w:w="160"/>
              <w:left w:type="dxa" w:w="200"/>
              <w:bottom w:type="dxa" w:w="160"/>
              <w:right w:type="dxa" w:w="200"/>
            </w:tcMar>
          </w:tcPr>
          <w:p>
            <w:pPr>
              <w:spacing w:after="0"/>
            </w:pPr>
            <w:r>
              <w:t xml:space="preserve">Los datos de los clientes que el profesional introduce en AuraDesk son de su exclusiva responsabilidad. El profesional actúa como responsable del tratamiento de dichos datos y debe garantizar que dispone de base legal para su tratamiento conforme al RGPD.</w:t>
            </w:r>
          </w:p>
        </w:tc>
      </w:tr>
    </w:tbl>
    <w:p>
      <w:pPr>
        <w:spacing w:after="120" w:line="300"/>
        <w:jc w:val="both"/>
      </w:pPr>
      <w:r>
        <w:t xml:space="preserve"/>
      </w:r>
    </w:p>
    <w:p>
      <w:pPr>
        <w:spacing w:after="120" w:line="300"/>
        <w:jc w:val="both"/>
      </w:pPr>
      <w:r>
        <w:t xml:space="preserve">AuraDesk actúa como encargado del tratamiento respecto a los datos de los clientes finales introducidos por el profesional, y se compromete a tratarlos únicamente para la prestación del servicio contratado.</w:t>
      </w:r>
    </w:p>
    <w:p>
      <w:pPr>
        <w:pStyle w:val="Heading2"/>
        <w:pBdr>
          <w:bottom w:val="single" w:color="6B4FBB" w:sz="8" w:space="4"/>
        </w:pBdr>
        <w:spacing w:after="140" w:before="320"/>
      </w:pPr>
      <w:r>
        <w:rPr>
          <w:b/>
          <w:bCs/>
          <w:color w:val="6B4FBB"/>
          <w:sz w:val="22"/>
          <w:szCs w:val="22"/>
        </w:rPr>
        <w:t xml:space="preserve">Artículo 09  ·  </w:t>
      </w:r>
      <w:r>
        <w:rPr>
          <w:b/>
          <w:bCs/>
          <w:color w:val="222222"/>
          <w:sz w:val="26"/>
          <w:szCs w:val="26"/>
        </w:rPr>
        <w:t xml:space="preserve">Confidencialidad</w:t>
      </w:r>
    </w:p>
    <w:p>
      <w:pPr>
        <w:spacing w:after="120" w:line="300"/>
        <w:jc w:val="both"/>
      </w:pPr>
      <w:r>
        <w:t xml:space="preserve">AuraDesk se compromete a mantener la más estricta confidencialidad sobre todos los datos e información que los usuarios introduzcan en la plataforma. Ningún empleado, colaborador o tercero vinculado a AuraDesk podrá acceder a los datos de los clientes de un profesional sin su consentimiento expreso, salvo requerimiento legal.</w:t>
      </w:r>
    </w:p>
    <w:p>
      <w:pPr>
        <w:spacing w:after="120" w:line="300"/>
        <w:jc w:val="both"/>
      </w:pPr>
      <w:r>
        <w:t xml:space="preserve">Cada cuenta de profesional dispone de acceso exclusivo y aislado a su propia base de datos. Es técnicamente imposible que un profesional acceda a los datos de otro.</w:t>
      </w:r>
    </w:p>
    <w:p>
      <w:pPr>
        <w:pStyle w:val="Heading2"/>
        <w:pBdr>
          <w:bottom w:val="single" w:color="6B4FBB" w:sz="8" w:space="4"/>
        </w:pBdr>
        <w:spacing w:after="140" w:before="320"/>
      </w:pPr>
      <w:r>
        <w:rPr>
          <w:b/>
          <w:bCs/>
          <w:color w:val="6B4FBB"/>
          <w:sz w:val="22"/>
          <w:szCs w:val="22"/>
        </w:rPr>
        <w:t xml:space="preserve">Artículo 10  ·  </w:t>
      </w:r>
      <w:r>
        <w:rPr>
          <w:b/>
          <w:bCs/>
          <w:color w:val="222222"/>
          <w:sz w:val="26"/>
          <w:szCs w:val="26"/>
        </w:rPr>
        <w:t xml:space="preserve">Limitación de responsabilidad</w:t>
      </w:r>
    </w:p>
    <w:p>
      <w:pPr>
        <w:spacing w:after="120" w:line="300"/>
        <w:jc w:val="both"/>
      </w:pPr>
      <w:r>
        <w:t xml:space="preserve">AuraDesk no se responsabiliza de:</w:t>
      </w:r>
    </w:p>
    <w:p>
      <w:pPr>
        <w:pStyle w:val="ListParagraph"/>
        <w:numPr>
          <w:ilvl w:val="0"/>
          <w:numId w:val="2"/>
        </w:numPr>
        <w:spacing w:after="80"/>
      </w:pPr>
      <w:r>
        <w:t xml:space="preserve">La exactitud o veracidad de los datos introducidos por el profesional.</w:t>
      </w:r>
    </w:p>
    <w:p>
      <w:pPr>
        <w:pStyle w:val="ListParagraph"/>
        <w:numPr>
          <w:ilvl w:val="0"/>
          <w:numId w:val="2"/>
        </w:numPr>
        <w:spacing w:after="80"/>
      </w:pPr>
      <w:r>
        <w:t xml:space="preserve">Las decisiones que el profesional tome basándose en los resúmenes generados por la IA, los cuales tienen carácter orientativo.</w:t>
      </w:r>
    </w:p>
    <w:p>
      <w:pPr>
        <w:pStyle w:val="ListParagraph"/>
        <w:numPr>
          <w:ilvl w:val="0"/>
          <w:numId w:val="2"/>
        </w:numPr>
        <w:spacing w:after="80"/>
      </w:pPr>
      <w:r>
        <w:t xml:space="preserve">Interrupciones del servicio por causas de fuerza mayor, mantenimiento o fallos técnicos ajenos a AuraDesk.</w:t>
      </w:r>
    </w:p>
    <w:p>
      <w:pPr>
        <w:pStyle w:val="ListParagraph"/>
        <w:numPr>
          <w:ilvl w:val="0"/>
          <w:numId w:val="2"/>
        </w:numPr>
        <w:spacing w:after="80"/>
      </w:pPr>
      <w:r>
        <w:t xml:space="preserve">La pérdida de datos derivada del incumplimiento de las condiciones de uso por parte del usuario.</w:t>
      </w:r>
    </w:p>
    <w:p>
      <w:pPr>
        <w:spacing w:after="120" w:line="300"/>
        <w:jc w:val="both"/>
      </w:pPr>
      <w:r>
        <w:t xml:space="preserve">AuraDesk realizará los esfuerzos razonables para garantizar la disponibilidad continua del servicio y la seguridad de los datos almacenados.</w:t>
      </w:r>
    </w:p>
    <w:p>
      <w:pPr>
        <w:pStyle w:val="Heading2"/>
        <w:pBdr>
          <w:bottom w:val="single" w:color="6B4FBB" w:sz="8" w:space="4"/>
        </w:pBdr>
        <w:spacing w:after="140" w:before="320"/>
      </w:pPr>
      <w:r>
        <w:rPr>
          <w:b/>
          <w:bCs/>
          <w:color w:val="6B4FBB"/>
          <w:sz w:val="22"/>
          <w:szCs w:val="22"/>
        </w:rPr>
        <w:t xml:space="preserve">Artículo 11  ·  </w:t>
      </w:r>
      <w:r>
        <w:rPr>
          <w:b/>
          <w:bCs/>
          <w:color w:val="222222"/>
          <w:sz w:val="26"/>
          <w:szCs w:val="26"/>
        </w:rPr>
        <w:t xml:space="preserve">Cancelación y baja del servicio</w:t>
      </w:r>
    </w:p>
    <w:p>
      <w:pPr>
        <w:spacing w:after="120" w:line="300"/>
        <w:jc w:val="both"/>
      </w:pPr>
      <w:r>
        <w:t xml:space="preserve">El usuario puede cancelar su suscripción en cualquier momento desde su panel de control. La cancelación tendrá efecto al finalizar el período de facturación en curso, sin que proceda reembolso por el tiempo no utilizado.</w:t>
      </w:r>
    </w:p>
    <w:p>
      <w:pPr>
        <w:spacing w:after="120" w:line="300"/>
        <w:jc w:val="both"/>
      </w:pPr>
      <w:r>
        <w:t xml:space="preserve">Tras la cancelación, los datos del usuario se conservarán durante un período máximo de 6 meses, durante los cuales podrá reactivar su cuenta. Transcurrido dicho plazo, los datos serán eliminados de forma definitiva e irreversible.</w:t>
      </w:r>
    </w:p>
    <w:p>
      <w:pPr>
        <w:spacing w:after="120" w:line="300"/>
        <w:jc w:val="both"/>
      </w:pPr>
      <w:r>
        <w:t xml:space="preserve">AuraDesk se reserva el derecho de cancelar cuentas que incumplan los presentes términos, con notificación previa salvo en casos de uso fraudulento o ilícito.</w:t>
      </w:r>
    </w:p>
    <w:p>
      <w:pPr>
        <w:pStyle w:val="Heading2"/>
        <w:pBdr>
          <w:bottom w:val="single" w:color="6B4FBB" w:sz="8" w:space="4"/>
        </w:pBdr>
        <w:spacing w:after="140" w:before="320"/>
      </w:pPr>
      <w:r>
        <w:rPr>
          <w:b/>
          <w:bCs/>
          <w:color w:val="6B4FBB"/>
          <w:sz w:val="22"/>
          <w:szCs w:val="22"/>
        </w:rPr>
        <w:t xml:space="preserve">Artículo 12  ·  </w:t>
      </w:r>
      <w:r>
        <w:rPr>
          <w:b/>
          <w:bCs/>
          <w:color w:val="222222"/>
          <w:sz w:val="26"/>
          <w:szCs w:val="26"/>
        </w:rPr>
        <w:t xml:space="preserve">Precio fundador</w:t>
      </w:r>
    </w:p>
    <w:p>
      <w:pPr>
        <w:spacing w:after="120" w:line="300"/>
        <w:jc w:val="both"/>
      </w:pPr>
      <w:r>
        <w:t xml:space="preserve">Los usuarios que se registren y activen su suscripción de pago antes del 31 de mayo de 2026 tendrán derecho al precio fundador de 7,99 €/mes, garantizado de forma indefinida mientras mantengan su suscripción activa y sin interrupciones.</w:t>
      </w:r>
    </w:p>
    <w:p>
      <w:pPr>
        <w:spacing w:after="120" w:line="300"/>
        <w:jc w:val="both"/>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4FBB" w:sz="12"/>
              <w:left w:val="single" w:color="6B4FBB" w:sz="24"/>
              <w:bottom w:val="single" w:color="6B4FBB" w:sz="12"/>
              <w:right w:val="single" w:color="6B4FBB" w:sz="4"/>
            </w:tcBorders>
            <w:shd w:fill="F4EFFA" w:val="clear"/>
            <w:tcMar>
              <w:top w:type="dxa" w:w="160"/>
              <w:left w:type="dxa" w:w="200"/>
              <w:bottom w:type="dxa" w:w="160"/>
              <w:right w:type="dxa" w:w="200"/>
            </w:tcMar>
          </w:tcPr>
          <w:p>
            <w:pPr>
              <w:spacing w:after="0"/>
            </w:pPr>
            <w:r>
              <w:rPr>
                <w:b/>
                <w:bCs/>
                <w:color w:val="6B4FBB"/>
              </w:rPr>
              <w:t xml:space="preserve">Importante: </w:t>
            </w:r>
            <w:r>
              <w:t xml:space="preserve">El precio fundador se pierde de forma definitiva si el usuario causa baja voluntaria, si el acceso es suspendido por impago y no se reactiva dentro del período de gracia de 6 meses, o si la cuenta es cancelada por incumplimiento de los presentes términos. En ninguno de estos casos procederá la recuperación del precio fundador.</w:t>
            </w:r>
          </w:p>
        </w:tc>
      </w:tr>
    </w:tbl>
    <w:p>
      <w:pPr>
        <w:spacing w:after="120" w:line="300"/>
        <w:jc w:val="both"/>
      </w:pPr>
      <w:r>
        <w:t xml:space="preserve"/>
      </w:r>
    </w:p>
    <w:p>
      <w:pPr>
        <w:spacing w:after="120" w:line="300"/>
        <w:jc w:val="both"/>
      </w:pPr>
      <w:r>
        <w:t xml:space="preserve">AuraDesk se reserva el derecho de modificar el precio general del servicio para nuevos usuarios, sin que ello afecte al precio fundador de quienes lo hayan adquirido en los términos descritos.</w:t>
      </w:r>
    </w:p>
    <w:p>
      <w:pPr>
        <w:pStyle w:val="Heading2"/>
        <w:pBdr>
          <w:bottom w:val="single" w:color="6B4FBB" w:sz="8" w:space="4"/>
        </w:pBdr>
        <w:spacing w:after="140" w:before="320"/>
      </w:pPr>
      <w:r>
        <w:rPr>
          <w:b/>
          <w:bCs/>
          <w:color w:val="6B4FBB"/>
          <w:sz w:val="22"/>
          <w:szCs w:val="22"/>
        </w:rPr>
        <w:t xml:space="preserve">Artículo 13  ·  </w:t>
      </w:r>
      <w:r>
        <w:rPr>
          <w:b/>
          <w:bCs/>
          <w:color w:val="222222"/>
          <w:sz w:val="26"/>
          <w:szCs w:val="26"/>
        </w:rPr>
        <w:t xml:space="preserve">Modificaciones de los términos</w:t>
      </w:r>
    </w:p>
    <w:p>
      <w:pPr>
        <w:spacing w:after="120" w:line="300"/>
        <w:jc w:val="both"/>
      </w:pPr>
      <w:r>
        <w:t xml:space="preserve">AuraDesk podrá modificar los presentes Términos y Condiciones en cualquier momento, notificando a los usuarios registrados por email con un mínimo de 15 días de antelación. El uso continuado del servicio tras dicho plazo implicará la aceptación de los nuevos términos.</w:t>
      </w:r>
    </w:p>
    <w:p>
      <w:pPr>
        <w:pStyle w:val="Heading2"/>
        <w:pBdr>
          <w:bottom w:val="single" w:color="6B4FBB" w:sz="8" w:space="4"/>
        </w:pBdr>
        <w:spacing w:after="140" w:before="320"/>
      </w:pPr>
      <w:r>
        <w:rPr>
          <w:b/>
          <w:bCs/>
          <w:color w:val="6B4FBB"/>
          <w:sz w:val="22"/>
          <w:szCs w:val="22"/>
        </w:rPr>
        <w:t xml:space="preserve">Artículo 14  ·  </w:t>
      </w:r>
      <w:r>
        <w:rPr>
          <w:b/>
          <w:bCs/>
          <w:color w:val="222222"/>
          <w:sz w:val="26"/>
          <w:szCs w:val="26"/>
        </w:rPr>
        <w:t xml:space="preserve">Legislación aplicable y jurisdicción</w:t>
      </w:r>
    </w:p>
    <w:p>
      <w:pPr>
        <w:spacing w:after="120" w:line="300"/>
        <w:jc w:val="both"/>
      </w:pPr>
      <w:r>
        <w:t xml:space="preserve">Los presentes Términos y Condiciones se rigen por la legislación española. Para la resolución de cualquier conflicto derivado del uso de AuraDesk, las partes se someten a los Juzgados y Tribunales de Ciudad Real, con renuncia expresa a cualquier otro fuero que pudiera corresponderles.</w:t>
      </w:r>
    </w:p>
    <w:p>
      <w:pPr>
        <w:pStyle w:val="Heading2"/>
        <w:pBdr>
          <w:bottom w:val="single" w:color="6B4FBB" w:sz="8" w:space="4"/>
        </w:pBdr>
        <w:spacing w:after="140" w:before="320"/>
      </w:pPr>
      <w:r>
        <w:rPr>
          <w:b/>
          <w:bCs/>
          <w:color w:val="6B4FBB"/>
          <w:sz w:val="22"/>
          <w:szCs w:val="22"/>
        </w:rPr>
        <w:t xml:space="preserve">Artículo 15  ·  </w:t>
      </w:r>
      <w:r>
        <w:rPr>
          <w:b/>
          <w:bCs/>
          <w:color w:val="222222"/>
          <w:sz w:val="26"/>
          <w:szCs w:val="26"/>
        </w:rPr>
        <w:t xml:space="preserve">Contacto</w:t>
      </w:r>
    </w:p>
    <w:p>
      <w:pPr>
        <w:spacing w:after="120" w:line="300"/>
        <w:jc w:val="both"/>
      </w:pPr>
      <w:r>
        <w:t xml:space="preserve">Para cualquier consulta relacionada con estos Términos y Condiciones o con el funcionamiento del servicio, puedes contactar con nosotros en:</w:t>
      </w:r>
    </w:p>
    <w:p>
      <w:pPr>
        <w:pStyle w:val="ListParagraph"/>
        <w:numPr>
          <w:ilvl w:val="0"/>
          <w:numId w:val="2"/>
        </w:numPr>
        <w:spacing w:after="80"/>
      </w:pPr>
      <w:r>
        <w:t xml:space="preserve">Email: info@auradesk.net</w:t>
      </w:r>
    </w:p>
    <w:p>
      <w:pPr>
        <w:pStyle w:val="ListParagraph"/>
        <w:numPr>
          <w:ilvl w:val="0"/>
          <w:numId w:val="2"/>
        </w:numPr>
        <w:spacing w:after="80"/>
      </w:pPr>
      <w:r>
        <w:t xml:space="preserve">Dirección: C/ Viñas 2-11, Miguelturra (Ciudad Real), España</w:t>
      </w:r>
    </w:p>
    <w:p>
      <w:pPr>
        <w:spacing w:after="120" w:line="300"/>
        <w:jc w:val="both"/>
      </w:pPr>
      <w:r>
        <w:t xml:space="preserve"/>
      </w:r>
    </w:p>
    <w:p>
      <w:pPr>
        <w:pBdr>
          <w:top w:val="single" w:color="6B4FBB" w:sz="8" w:space="8"/>
        </w:pBdr>
        <w:spacing w:before="400"/>
        <w:jc w:val="center"/>
      </w:pPr>
      <w:r>
        <w:rPr>
          <w:i/>
          <w:iCs/>
          <w:color w:val="555555"/>
          <w:sz w:val="18"/>
          <w:szCs w:val="18"/>
        </w:rPr>
        <w:t xml:space="preserve">AuraDesk · Carlos Arias Villena · NIF 53492453L · © 2026 Todos los derechos reservados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8"/>
        <w:szCs w:val="18"/>
      </w:rPr>
      <w:t xml:space="preserve">Página </w:t>
    </w:r>
    <w:r>
      <w:rPr>
        <w:color w:val="555555"/>
        <w:sz w:val="18"/>
        <w:szCs w:val="18"/>
      </w:rPr>
      <w:fldChar w:fldCharType="begin"/>
      <w:instrText xml:space="preserve">PAGE</w:instrText>
      <w:fldChar w:fldCharType="separate"/>
      <w:fldChar w:fldCharType="end"/>
    </w:r>
    <w:r>
      <w:rPr>
        <w:color w:val="555555"/>
        <w:sz w:val="18"/>
        <w:szCs w:val="18"/>
      </w:rPr>
      <w:t xml:space="preserve"> de </w:t>
    </w:r>
    <w:r>
      <w:rPr>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6B4FBB"/>
        <w:sz w:val="18"/>
        <w:szCs w:val="18"/>
      </w:rPr>
      <w:t xml:space="preserve">AuraDesk · Términos y Condiciones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6B4FBB"/>
      <w:sz w:val="32"/>
      <w:szCs w:val="32"/>
    </w:rPr>
  </w:style>
  <w:style w:type="paragraph" w:styleId="Heading2">
    <w:name w:val="Heading 2"/>
    <w:basedOn w:val="Normal"/>
    <w:next w:val="Normal"/>
    <w:qFormat/>
    <w:pPr>
      <w:spacing w:after="140" w:before="320"/>
      <w:outlineLvl w:val="1"/>
    </w:pPr>
    <w:rPr>
      <w:rFonts w:ascii="Calibri" w:cs="Calibri" w:eastAsia="Calibri" w:hAnsi="Calibri"/>
      <w:b/>
      <w:bCs/>
      <w:color w:val="22222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AuraDesk — Términos y Condiciones</dc:title>
  <dc:creator>AuraDesk</dc:creator>
  <cp:lastModifiedBy>Un-named</cp:lastModifiedBy>
  <cp:revision>1</cp:revision>
  <dcterms:created xsi:type="dcterms:W3CDTF">2026-04-29T14:42:44.902Z</dcterms:created>
  <dcterms:modified xsi:type="dcterms:W3CDTF">2026-04-29T14:42:44.903Z</dcterms:modified>
</cp:coreProperties>
</file>

<file path=docProps/custom.xml><?xml version="1.0" encoding="utf-8"?>
<Properties xmlns="http://schemas.openxmlformats.org/officeDocument/2006/custom-properties" xmlns:vt="http://schemas.openxmlformats.org/officeDocument/2006/docPropsVTypes"/>
</file>